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07D" w:rsidRPr="0010117B" w:rsidRDefault="00BB407D" w:rsidP="00BB407D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Лабораторні заняття з</w:t>
      </w:r>
    </w:p>
    <w:p w:rsidR="00BB407D" w:rsidRPr="0010117B" w:rsidRDefault="00BB407D" w:rsidP="00BB407D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навчальної дисципліни «Вікова анатомія та фізіологія»</w:t>
      </w:r>
    </w:p>
    <w:p w:rsidR="00BB407D" w:rsidRPr="0010117B" w:rsidRDefault="00BB407D" w:rsidP="00BB407D">
      <w:pPr>
        <w:tabs>
          <w:tab w:val="center" w:pos="4677"/>
          <w:tab w:val="left" w:pos="8068"/>
        </w:tabs>
        <w:spacing w:after="0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ab/>
        <w:t>спеціальності 227 Фізична терапія, ерготерапія</w:t>
      </w:r>
    </w:p>
    <w:p w:rsidR="00BB407D" w:rsidRPr="0010117B" w:rsidRDefault="00BB407D" w:rsidP="00BB407D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BB407D" w:rsidRPr="0010117B" w:rsidRDefault="00BB407D" w:rsidP="00BB407D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BB407D" w:rsidRPr="0010117B" w:rsidRDefault="00BB407D" w:rsidP="00BB407D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Вікові особливості будови та функцій аналізаторів</w:t>
      </w:r>
    </w:p>
    <w:p w:rsidR="00BB407D" w:rsidRPr="0010117B" w:rsidRDefault="00BB407D" w:rsidP="00BB407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BB407D" w:rsidRPr="0010117B" w:rsidRDefault="00BB407D" w:rsidP="00BB407D">
      <w:pPr>
        <w:pStyle w:val="a3"/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sz w:val="28"/>
          <w:szCs w:val="28"/>
          <w:lang w:val="uk-UA"/>
        </w:rPr>
        <w:t>Лабораторна робота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№ 1</w:t>
      </w:r>
      <w:r w:rsidR="00C81DD2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bookmarkStart w:id="0" w:name="_GoBack"/>
      <w:bookmarkEnd w:id="0"/>
    </w:p>
    <w:p w:rsidR="00BB407D" w:rsidRPr="0010117B" w:rsidRDefault="00BB407D" w:rsidP="00BB407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sz w:val="28"/>
          <w:szCs w:val="28"/>
          <w:lang w:val="uk-UA"/>
        </w:rPr>
        <w:t>Мета роботи:</w:t>
      </w:r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 вивчити будову та вікові особливості нюхового аналізатор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, опанувати методики дослідження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нюхового</w:t>
      </w:r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 аналізатор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011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B407D" w:rsidRPr="0010117B" w:rsidRDefault="00BB407D" w:rsidP="00BB407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407D" w:rsidRPr="0010117B" w:rsidRDefault="00BB407D" w:rsidP="00BB407D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Теоретична частина</w:t>
      </w:r>
    </w:p>
    <w:p w:rsidR="00BB407D" w:rsidRPr="0010117B" w:rsidRDefault="00BB407D" w:rsidP="00BB407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Нюх у дітей</w:t>
      </w:r>
      <w:r w:rsidRPr="0010117B">
        <w:rPr>
          <w:rFonts w:ascii="Times New Roman" w:hAnsi="Times New Roman" w:cs="Times New Roman"/>
          <w:sz w:val="28"/>
          <w:szCs w:val="28"/>
          <w:lang w:val="uk-UA"/>
        </w:rPr>
        <w:t>. Близько половини недоношених і 1/8 доношених дітей відчувають запахи, але нюхова чутливість у них приблизно в 10 разів менше, ніж у дорослих, і вони не відрізняють приємні і неприємні запахи.</w:t>
      </w:r>
    </w:p>
    <w:p w:rsidR="00BB407D" w:rsidRPr="0010117B" w:rsidRDefault="00BB407D" w:rsidP="00BB407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Уже в перші місяці життя новонароджені реагують на сильні запахи скороченням мімічних м'язів. Розрізнення запахів з'являється на 2–3–му місяцях життя. Але внаслідок недорозвинення порожнини носа у грудних дітей нюх менш розвинений, ніж в ранньому дитинстві і в наступні періоди життя. У дошкільнят і школярів нюх гостріший, ніж у дорослих. Нюхова чутливість збільшується до 6–10 років, а потім поступово зменшується. Поріг розрізнення запахів підвищується з віком. Систематичні вправи значно загострюють нюх; запалення слизової оболонки носа і куріння – знижують.</w:t>
      </w:r>
    </w:p>
    <w:p w:rsidR="00BB407D" w:rsidRDefault="00BB407D" w:rsidP="00BB407D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</w:p>
    <w:p w:rsidR="00BB407D" w:rsidRPr="0010117B" w:rsidRDefault="00BB407D" w:rsidP="00BB407D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Практична частина</w:t>
      </w:r>
    </w:p>
    <w:p w:rsidR="00BB407D" w:rsidRPr="0010117B" w:rsidRDefault="00BB407D" w:rsidP="00BB407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407D" w:rsidRPr="0010117B" w:rsidRDefault="00BB407D" w:rsidP="00BB407D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Завдання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1</w:t>
      </w: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. Нюховий аналізатор.</w:t>
      </w:r>
    </w:p>
    <w:p w:rsidR="00BB407D" w:rsidRPr="0010117B" w:rsidRDefault="00BB407D" w:rsidP="00BB407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407D" w:rsidRPr="0010117B" w:rsidRDefault="00BB407D" w:rsidP="00BB407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Згідно стереохімічної теорії розрізняють 7 первинних запахів: </w:t>
      </w:r>
      <w:proofErr w:type="spellStart"/>
      <w:r w:rsidRPr="0010117B">
        <w:rPr>
          <w:rFonts w:ascii="Times New Roman" w:hAnsi="Times New Roman" w:cs="Times New Roman"/>
          <w:sz w:val="28"/>
          <w:szCs w:val="28"/>
          <w:lang w:val="uk-UA"/>
        </w:rPr>
        <w:t>камфороподібний</w:t>
      </w:r>
      <w:proofErr w:type="spellEnd"/>
      <w:r w:rsidRPr="0010117B">
        <w:rPr>
          <w:rFonts w:ascii="Times New Roman" w:hAnsi="Times New Roman" w:cs="Times New Roman"/>
          <w:sz w:val="28"/>
          <w:szCs w:val="28"/>
          <w:lang w:val="uk-UA"/>
        </w:rPr>
        <w:t>, мускусний, квітковий, м'ятний, ефірний, гострий, гнильний. Завдяки нюху сприймаються зміни хімічного складу навколишнього повітря, запахи їжі. Нюхова чутливість виключно велика і мінлива.</w:t>
      </w:r>
    </w:p>
    <w:p w:rsidR="00BB407D" w:rsidRPr="0010117B" w:rsidRDefault="00BB407D" w:rsidP="00BB407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Інтенсивність нюху залежить від будови пахучої речовини, від її концентрації у повітрі, що вдихається і від швидкості проходження повітря до нюхових клітин. При безперервному подразненні органу нюху пахучою речовиною настає адаптація до даного запаху.</w:t>
      </w:r>
    </w:p>
    <w:p w:rsidR="00BB407D" w:rsidRPr="0010117B" w:rsidRDefault="00BB407D" w:rsidP="00BB407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lastRenderedPageBreak/>
        <w:t>Інтенсивність нюху і швидкість адаптації збільшуються при подразненні симпатичної нервової системи.</w:t>
      </w:r>
    </w:p>
    <w:p w:rsidR="00BB407D" w:rsidRPr="0010117B" w:rsidRDefault="00BB407D" w:rsidP="00BB407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0117B">
        <w:rPr>
          <w:rFonts w:ascii="Times New Roman" w:hAnsi="Times New Roman" w:cs="Times New Roman"/>
          <w:sz w:val="28"/>
          <w:szCs w:val="28"/>
          <w:lang w:val="uk-UA"/>
        </w:rPr>
        <w:t>Нюховиий</w:t>
      </w:r>
      <w:proofErr w:type="spellEnd"/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 аналізатор.</w:t>
      </w:r>
    </w:p>
    <w:p w:rsidR="00BB407D" w:rsidRPr="0010117B" w:rsidRDefault="00BB407D" w:rsidP="00BB407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Замалювати в зошиті будову нюхового аналізатора, зробити відповідні позначення.</w:t>
      </w:r>
    </w:p>
    <w:p w:rsidR="00BB407D" w:rsidRPr="0010117B" w:rsidRDefault="00BB407D" w:rsidP="00BB407D">
      <w:pPr>
        <w:spacing w:after="0"/>
        <w:ind w:left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noProof/>
          <w:lang w:eastAsia="ru-RU"/>
        </w:rPr>
        <w:drawing>
          <wp:inline distT="0" distB="0" distL="0" distR="0" wp14:anchorId="3BB8E204" wp14:editId="3EC38C3E">
            <wp:extent cx="2405270" cy="2886530"/>
            <wp:effectExtent l="0" t="0" r="0" b="0"/>
            <wp:docPr id="5" name="Рисунок 5" descr="C:\Users\Tatyana\Desktop\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atyana\Desktop\загружен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753" cy="289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07D" w:rsidRPr="0010117B" w:rsidRDefault="00BB407D" w:rsidP="00BB407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Нюхові клітини.</w:t>
      </w:r>
    </w:p>
    <w:p w:rsidR="00BB407D" w:rsidRPr="0010117B" w:rsidRDefault="00BB407D" w:rsidP="00BB40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Замалювати в зошиті будову нюхового аналізатора, зробити відповідні позначення.</w:t>
      </w:r>
    </w:p>
    <w:p w:rsidR="00BB407D" w:rsidRPr="0010117B" w:rsidRDefault="00BB407D" w:rsidP="00BB407D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EAEEA3" wp14:editId="20D198A4">
            <wp:extent cx="2143829" cy="2409925"/>
            <wp:effectExtent l="0" t="0" r="8890" b="9525"/>
            <wp:docPr id="6" name="Рисунок 6" descr="C:\Users\Tatyana\Desktop\загружено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atyana\Desktop\загружено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434" cy="2415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07D" w:rsidRPr="0010117B" w:rsidRDefault="00BB407D" w:rsidP="00BB407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Заповнити таблицю: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2944"/>
        <w:gridCol w:w="2693"/>
        <w:gridCol w:w="2268"/>
      </w:tblGrid>
      <w:tr w:rsidR="00BB407D" w:rsidRPr="0010117B" w:rsidTr="009D4B22">
        <w:tc>
          <w:tcPr>
            <w:tcW w:w="2944" w:type="dxa"/>
            <w:vAlign w:val="center"/>
          </w:tcPr>
          <w:p w:rsidR="00BB407D" w:rsidRPr="0010117B" w:rsidRDefault="00BB407D" w:rsidP="009D4B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Будова нюхового аналізатора</w:t>
            </w:r>
          </w:p>
        </w:tc>
        <w:tc>
          <w:tcPr>
            <w:tcW w:w="2693" w:type="dxa"/>
            <w:vAlign w:val="center"/>
          </w:tcPr>
          <w:p w:rsidR="00BB407D" w:rsidRPr="0010117B" w:rsidRDefault="00BB407D" w:rsidP="009D4B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Функції</w:t>
            </w:r>
          </w:p>
        </w:tc>
        <w:tc>
          <w:tcPr>
            <w:tcW w:w="2268" w:type="dxa"/>
            <w:vAlign w:val="center"/>
          </w:tcPr>
          <w:p w:rsidR="00BB407D" w:rsidRPr="0010117B" w:rsidRDefault="00BB407D" w:rsidP="009D4B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Вікові особливості</w:t>
            </w:r>
          </w:p>
        </w:tc>
      </w:tr>
      <w:tr w:rsidR="00BB407D" w:rsidRPr="0010117B" w:rsidTr="009D4B22">
        <w:tc>
          <w:tcPr>
            <w:tcW w:w="2944" w:type="dxa"/>
            <w:vAlign w:val="center"/>
          </w:tcPr>
          <w:p w:rsidR="00BB407D" w:rsidRPr="0010117B" w:rsidRDefault="00BB407D" w:rsidP="009D4B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BB407D" w:rsidRPr="0010117B" w:rsidRDefault="00BB407D" w:rsidP="009D4B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BB407D" w:rsidRPr="0010117B" w:rsidRDefault="00BB407D" w:rsidP="009D4B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B407D" w:rsidRPr="0010117B" w:rsidTr="009D4B22">
        <w:tc>
          <w:tcPr>
            <w:tcW w:w="2944" w:type="dxa"/>
            <w:vAlign w:val="center"/>
          </w:tcPr>
          <w:p w:rsidR="00BB407D" w:rsidRPr="0010117B" w:rsidRDefault="00BB407D" w:rsidP="009D4B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BB407D" w:rsidRPr="0010117B" w:rsidRDefault="00BB407D" w:rsidP="009D4B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BB407D" w:rsidRPr="0010117B" w:rsidRDefault="00BB407D" w:rsidP="009D4B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B407D" w:rsidRPr="0010117B" w:rsidTr="009D4B22">
        <w:tc>
          <w:tcPr>
            <w:tcW w:w="2944" w:type="dxa"/>
            <w:vAlign w:val="center"/>
          </w:tcPr>
          <w:p w:rsidR="00BB407D" w:rsidRPr="0010117B" w:rsidRDefault="00BB407D" w:rsidP="009D4B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BB407D" w:rsidRPr="0010117B" w:rsidRDefault="00BB407D" w:rsidP="009D4B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BB407D" w:rsidRPr="0010117B" w:rsidRDefault="00BB407D" w:rsidP="009D4B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B407D" w:rsidRPr="0010117B" w:rsidTr="009D4B22">
        <w:tc>
          <w:tcPr>
            <w:tcW w:w="2944" w:type="dxa"/>
            <w:vAlign w:val="center"/>
          </w:tcPr>
          <w:p w:rsidR="00BB407D" w:rsidRPr="0010117B" w:rsidRDefault="00BB407D" w:rsidP="009D4B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BB407D" w:rsidRPr="0010117B" w:rsidRDefault="00BB407D" w:rsidP="009D4B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BB407D" w:rsidRPr="0010117B" w:rsidRDefault="00BB407D" w:rsidP="009D4B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BB407D" w:rsidRPr="0010117B" w:rsidRDefault="00BB407D" w:rsidP="00BB407D">
      <w:pPr>
        <w:spacing w:after="0"/>
        <w:ind w:left="708"/>
        <w:rPr>
          <w:rFonts w:ascii="Times New Roman" w:hAnsi="Times New Roman" w:cs="Times New Roman"/>
          <w:sz w:val="28"/>
          <w:szCs w:val="28"/>
          <w:lang w:val="uk-UA"/>
        </w:rPr>
      </w:pPr>
    </w:p>
    <w:p w:rsidR="00DF4ACD" w:rsidRDefault="00DF4ACD" w:rsidP="00BB407D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  <w:sectPr w:rsidR="00DF4A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407D" w:rsidRPr="0010117B" w:rsidRDefault="00BB407D" w:rsidP="00BB407D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Дослід № 1. Дослідити поріг нюху в людини</w:t>
      </w:r>
    </w:p>
    <w:p w:rsidR="00BB407D" w:rsidRPr="0010117B" w:rsidRDefault="00BB407D" w:rsidP="00BB407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Матеріали та обладнання: чотири флакони з притертими або загвинченими пробками, у яких містяться: 1)0,5%–й розчин оцтової кислоти – слабкий запах; 2) етиловий спирт – запах середньої сили; 3) водна настойка валеріани – сильний запах; 4) нашатирний спирт – дуже сильний запах.</w:t>
      </w:r>
    </w:p>
    <w:p w:rsidR="00BB407D" w:rsidRPr="0010117B" w:rsidRDefault="00BB407D" w:rsidP="00BB407D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Хід роботи</w:t>
      </w:r>
      <w:r w:rsidRPr="0010117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B407D" w:rsidRPr="0010117B" w:rsidRDefault="00BB407D" w:rsidP="00BB407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Відкриті флакони підносять до ніздрів обстежуваного (по черзі згідно номерам флаконів). Пропонують зробити вдих і сказати, чи відчуває він запах та назвати його. Якщо він відчуває й розпізнає усі чотири запахи, констатують </w:t>
      </w:r>
      <w:proofErr w:type="spellStart"/>
      <w:r w:rsidRPr="0010117B">
        <w:rPr>
          <w:rFonts w:ascii="Times New Roman" w:hAnsi="Times New Roman" w:cs="Times New Roman"/>
          <w:sz w:val="28"/>
          <w:szCs w:val="28"/>
          <w:lang w:val="uk-UA"/>
        </w:rPr>
        <w:t>нормосомію</w:t>
      </w:r>
      <w:proofErr w:type="spellEnd"/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. У випадку несприйняття 1 або 1 та 2 запахів відзначають </w:t>
      </w:r>
      <w:proofErr w:type="spellStart"/>
      <w:r w:rsidRPr="0010117B">
        <w:rPr>
          <w:rFonts w:ascii="Times New Roman" w:hAnsi="Times New Roman" w:cs="Times New Roman"/>
          <w:sz w:val="28"/>
          <w:szCs w:val="28"/>
          <w:lang w:val="uk-UA"/>
        </w:rPr>
        <w:t>гіпосомію</w:t>
      </w:r>
      <w:proofErr w:type="spellEnd"/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 (зниження нюху) І або ІІ ступеня. Неможливість сприймати 1, 2, 3 запахи свідчать при аносмію (відсутність нюху), тому що нашатирний спирт може сприйматися за рахунок інших нервів.</w:t>
      </w:r>
    </w:p>
    <w:p w:rsidR="00BB407D" w:rsidRPr="0010117B" w:rsidRDefault="00BB407D" w:rsidP="00BB407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Результати досліджень записати в зошит і зробити висновки.</w:t>
      </w:r>
    </w:p>
    <w:p w:rsidR="00BB407D" w:rsidRPr="0010117B" w:rsidRDefault="00BB407D" w:rsidP="00BB407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407D" w:rsidRPr="0010117B" w:rsidRDefault="00BB407D" w:rsidP="00BB407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sz w:val="28"/>
          <w:szCs w:val="28"/>
          <w:lang w:val="uk-UA"/>
        </w:rPr>
        <w:t>Дослід №2. Дослідження адаптації нюхового аналізатора</w:t>
      </w:r>
    </w:p>
    <w:p w:rsidR="00BB407D" w:rsidRPr="0010117B" w:rsidRDefault="00BB407D" w:rsidP="00BB407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Адаптація в нюховому аналізаторі відбувається порівняно повільно (десятки секунд або хвилини) і залежить від швидкості потоку повітря над </w:t>
      </w:r>
      <w:proofErr w:type="spellStart"/>
      <w:r w:rsidRPr="0010117B">
        <w:rPr>
          <w:rFonts w:ascii="Times New Roman" w:hAnsi="Times New Roman" w:cs="Times New Roman"/>
          <w:sz w:val="28"/>
          <w:szCs w:val="28"/>
          <w:lang w:val="uk-UA"/>
        </w:rPr>
        <w:t>нюховомим</w:t>
      </w:r>
      <w:proofErr w:type="spellEnd"/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 епітелієм і концентрації пахучої речовини.</w:t>
      </w:r>
    </w:p>
    <w:p w:rsidR="00BB407D" w:rsidRPr="0010117B" w:rsidRDefault="00BB407D" w:rsidP="00BB407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Матеріали та обладнання: ванілін, одеколон, спирт, вата, секундомір.</w:t>
      </w:r>
    </w:p>
    <w:p w:rsidR="00BB407D" w:rsidRPr="0010117B" w:rsidRDefault="00BB407D" w:rsidP="00BB407D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BB407D" w:rsidRPr="0010117B" w:rsidRDefault="00BB407D" w:rsidP="00BB407D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Хід роботи:</w:t>
      </w:r>
    </w:p>
    <w:p w:rsidR="00BB407D" w:rsidRPr="0010117B" w:rsidRDefault="00BB407D" w:rsidP="00BB407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Випробовуваний повинен піднести до однієї з ніздрів пробірку з пахучою речовиною і зробити часті (нюхальні) вдихи (видих проводиться через рот) до тих пір, поки не зникне відчуття запаху взятої пахучої речовини. Визначити час настання адаптації нюхового аналізатора.</w:t>
      </w:r>
    </w:p>
    <w:p w:rsidR="00BB407D" w:rsidRPr="0010117B" w:rsidRDefault="00BB407D" w:rsidP="00BB407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Після настання адаптації через кожні 30 секунд підносити до носа пробірку з тією ж речовиною і визначати час відновлення чутливості нюхового аналізатора.</w:t>
      </w:r>
    </w:p>
    <w:p w:rsidR="00BB407D" w:rsidRPr="0010117B" w:rsidRDefault="00BB407D" w:rsidP="00BB407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Зробити висновки.</w:t>
      </w:r>
    </w:p>
    <w:p w:rsidR="00CE0E34" w:rsidRDefault="00CE0E34" w:rsidP="00CE0E34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E0E34" w:rsidRPr="0010117B" w:rsidRDefault="00CE0E34" w:rsidP="00CE0E34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онтрольні запитання:</w:t>
      </w:r>
    </w:p>
    <w:p w:rsidR="00CE0E34" w:rsidRPr="0010117B" w:rsidRDefault="00CE0E34" w:rsidP="00CE0E3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Теорії сприйняття запахів.</w:t>
      </w:r>
    </w:p>
    <w:p w:rsidR="00CE0E34" w:rsidRPr="00CE0E34" w:rsidRDefault="00CE0E34" w:rsidP="00CE0E34">
      <w:pPr>
        <w:pStyle w:val="a3"/>
        <w:numPr>
          <w:ilvl w:val="0"/>
          <w:numId w:val="3"/>
        </w:numPr>
        <w:spacing w:after="0"/>
        <w:jc w:val="both"/>
        <w:rPr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Чутливість нюхового аналізатора в людини.</w:t>
      </w:r>
    </w:p>
    <w:p w:rsidR="00CE0E34" w:rsidRPr="0010117B" w:rsidRDefault="00CE0E34" w:rsidP="00CE0E34">
      <w:pPr>
        <w:pStyle w:val="a3"/>
        <w:numPr>
          <w:ilvl w:val="0"/>
          <w:numId w:val="3"/>
        </w:numPr>
        <w:spacing w:after="0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Вікові особливості нюхового аналізатора.</w:t>
      </w:r>
    </w:p>
    <w:p w:rsidR="00CE0E34" w:rsidRPr="004B5981" w:rsidRDefault="00CE0E34" w:rsidP="00CE0E34">
      <w:pPr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CE0E34" w:rsidRDefault="00CE0E34" w:rsidP="00CE0E34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i/>
          <w:sz w:val="28"/>
          <w:szCs w:val="28"/>
          <w:lang w:val="uk-UA"/>
        </w:rPr>
        <w:t>Дати письмову відповідь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питання.</w:t>
      </w:r>
    </w:p>
    <w:p w:rsidR="00CE0E34" w:rsidRPr="004B5981" w:rsidRDefault="00CE0E34" w:rsidP="00CE0E34">
      <w:pPr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DF4ACD" w:rsidRPr="004B5981" w:rsidRDefault="00DF4ACD" w:rsidP="00DF4ACD">
      <w:pPr>
        <w:tabs>
          <w:tab w:val="left" w:pos="1064"/>
          <w:tab w:val="center" w:pos="467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</w:t>
      </w:r>
    </w:p>
    <w:p w:rsidR="00DF4ACD" w:rsidRPr="004B5981" w:rsidRDefault="00DF4ACD" w:rsidP="00DF4ACD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Антипчук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Ю. П. Анатом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олог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я дитини (з основами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шк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льної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єни). </w:t>
      </w:r>
      <w:r w:rsidRPr="004B5981">
        <w:rPr>
          <w:rFonts w:ascii="Times New Roman" w:hAnsi="Times New Roman" w:cs="Times New Roman"/>
          <w:sz w:val="28"/>
          <w:szCs w:val="28"/>
        </w:rPr>
        <w:t xml:space="preserve">Практикум.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Антипчук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Ю. П., Вожик Й. Б.,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Лебедєва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С.,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Лунiна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В. – К.: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школа, 1984. – 384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F4ACD" w:rsidRPr="004B5981" w:rsidRDefault="00DF4ACD" w:rsidP="00DF4ACD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Батуев А. С. Физиология плода и детей / Батуев А. С.,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Глебовский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В. А., и др.; Под ред. В.Д.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Глебовского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– М.: Медицина, 1988. – 224 с.</w:t>
      </w:r>
    </w:p>
    <w:p w:rsidR="00DF4ACD" w:rsidRPr="004B5981" w:rsidRDefault="00DF4ACD" w:rsidP="00DF4ACD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4B5981"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М. М. Возрастная физиология: (Физиология развития ребенка) / Безруких М. М., Сонькин В. Д., Фарбер Д. А. – М.: Издательский центр «Академия», 2002. – 416 с.</w:t>
      </w:r>
    </w:p>
    <w:p w:rsidR="00DF4ACD" w:rsidRPr="004B5981" w:rsidRDefault="00DF4ACD" w:rsidP="00DF4ACD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Виноградов О. О.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Вікова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фізіологія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: метод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ек. до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О. О. Виноградов, О. А. Виноградов, О. Д.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Боярчук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Луган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нац.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–т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». –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Луганськ</w:t>
      </w:r>
      <w:proofErr w:type="spellEnd"/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Вид–во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ДЗ «ЛНУ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», 2010. – 50 с.</w:t>
      </w:r>
    </w:p>
    <w:p w:rsidR="00DF4ACD" w:rsidRPr="004B5981" w:rsidRDefault="00DF4ACD" w:rsidP="00DF4ACD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Гальперин С. И. Анатомия и физиология человека / С. И. Гальперин. – М.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Медицина, 1974. – 468 с.</w:t>
      </w:r>
    </w:p>
    <w:p w:rsidR="00DF4ACD" w:rsidRPr="004B5981" w:rsidRDefault="00DF4ACD" w:rsidP="00DF4ACD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Даценко Й. І.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ієна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занять / Даценко Й. І. –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4B5981">
        <w:rPr>
          <w:rFonts w:ascii="Times New Roman" w:hAnsi="Times New Roman" w:cs="Times New Roman"/>
          <w:sz w:val="28"/>
          <w:szCs w:val="28"/>
        </w:rPr>
        <w:t>, 1988. – 146 с.</w:t>
      </w:r>
    </w:p>
    <w:p w:rsidR="00DF4ACD" w:rsidRPr="004B5981" w:rsidRDefault="00DF4ACD" w:rsidP="00DF4ACD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Колосова Т. С. Лабораторный практикум по экологии человека: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–методическое пособие / Колосова Т. С., Морозова Л. В. – Архангельск: Поморский государственный университет, 2002. – 181 с. ЛІТЕРАТУРА ВІКОВА АНАТОМІЯ ТА 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ІОЛОГІЯ Практикум 250</w:t>
      </w:r>
    </w:p>
    <w:p w:rsidR="00DF4ACD" w:rsidRPr="004B5981" w:rsidRDefault="00DF4ACD" w:rsidP="00DF4ACD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Леонтьева Н. Н. Анатомия и физиология детского организма: (Внутренние органы) / Леонтьева Н. Н., Маринова К. В. – М.: Просвещение, 1976. – 239 с.</w:t>
      </w:r>
    </w:p>
    <w:p w:rsidR="00DF4ACD" w:rsidRPr="004B5981" w:rsidRDefault="00DF4ACD" w:rsidP="00DF4ACD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Леонтьева Н. Н. Анатомия и физиология детского организма: (Основы учения о клетке и развитии организма, нервная система,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опорн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двигательный аппарат) / Леонтьева Н. Н., Маринова К. В. – М.: Просвещение, 1986. – 287с.</w:t>
      </w:r>
    </w:p>
    <w:p w:rsidR="00DF4ACD" w:rsidRPr="004B5981" w:rsidRDefault="00DF4ACD" w:rsidP="00DF4ACD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Лысова Н. Ф. Возрастная анатомия, физиология и школьная гигиена / Лысова Н. Ф.,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Айзман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И., Завьялова Я. Л.,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Ширшова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В. М. – Новосибирск: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Сиб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нив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–во, 2009. – 398с.</w:t>
      </w:r>
    </w:p>
    <w:p w:rsidR="00DF4ACD" w:rsidRPr="004B5981" w:rsidRDefault="00DF4ACD" w:rsidP="00DF4ACD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Маркелова Е. В. Физиология: методическое пособие для студентов институтов физической культуры / Маркелова Е. В.. – Владивосток: МГУ им. </w:t>
      </w:r>
      <w:proofErr w:type="spellStart"/>
      <w:proofErr w:type="gramStart"/>
      <w:r w:rsidRPr="004B5981">
        <w:rPr>
          <w:rFonts w:ascii="Times New Roman" w:hAnsi="Times New Roman" w:cs="Times New Roman"/>
          <w:sz w:val="28"/>
          <w:szCs w:val="28"/>
        </w:rPr>
        <w:t>адм</w:t>
      </w:r>
      <w:proofErr w:type="spellEnd"/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Г. И.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, – 2009. – 106 с.</w:t>
      </w:r>
    </w:p>
    <w:p w:rsidR="00DF4ACD" w:rsidRPr="004B5981" w:rsidRDefault="00DF4ACD" w:rsidP="00DF4ACD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Назарова Е. Н. Возрастная анатомия и физиология / Назарова Е. Н.,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Жилов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Ю. Д. – М. Издательский центр «Академия», 2008. – 272с.</w:t>
      </w:r>
    </w:p>
    <w:p w:rsidR="00DF4ACD" w:rsidRPr="004B5981" w:rsidRDefault="00DF4ACD" w:rsidP="00DF4ACD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lastRenderedPageBreak/>
        <w:t>Обреимова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И. Основы анатомии, физиологии и гигиены детей и подростков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Обреимова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И., Петрухина А. С. – М.: Издательский центр «Академия», 2000. – 376 с.</w:t>
      </w:r>
    </w:p>
    <w:p w:rsidR="00DF4ACD" w:rsidRPr="004B5981" w:rsidRDefault="00DF4ACD" w:rsidP="00DF4ACD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І. М. Вікова фізіологія: методичні вказівки/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І. М.,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Спринь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О.Б., Голяка С. К. – Миколаїв, 2008. – 41 с.</w:t>
      </w:r>
    </w:p>
    <w:p w:rsidR="00DF4ACD" w:rsidRPr="004B5981" w:rsidRDefault="00DF4ACD" w:rsidP="00DF4ACD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М. Анатомия и физиология детей и подростков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М.,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Брыксина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З. Г. – М.: Издательский центр «Академия», 2004. – 456 с.</w:t>
      </w:r>
    </w:p>
    <w:p w:rsidR="00DF4ACD" w:rsidRPr="004B5981" w:rsidRDefault="00DF4ACD" w:rsidP="00DF4ACD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М. Р. Атлас анатомии человека для стоматологов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М. Р., Никитюк Д. Б., Литвиненко Л. М. – М.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Медицина, 2009. – 533 с.</w:t>
      </w:r>
    </w:p>
    <w:p w:rsidR="00DF4ACD" w:rsidRPr="004B5981" w:rsidRDefault="00DF4ACD" w:rsidP="00DF4ACD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Смирнов Н. К.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ВІКОВА АНАТОМІЯ ТА 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ІОЛОГІЯ Практикум 251 образовательные технологии и психология здоровья в школе / Смирнов Н. К. – М.: АРКТИ, 2005. – 320 с.</w:t>
      </w:r>
    </w:p>
    <w:p w:rsidR="00DF4ACD" w:rsidRPr="004B5981" w:rsidRDefault="00DF4ACD" w:rsidP="00DF4ACD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Современные технологии сохранения и укрепления здоровья детей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од общ. Ред. Н. В.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Сократова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– М.: ТЦ Сфера, 2005. – 224 с.</w:t>
      </w:r>
    </w:p>
    <w:p w:rsidR="00DF4ACD" w:rsidRPr="004B5981" w:rsidRDefault="00DF4ACD" w:rsidP="00DF4ACD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B59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регіонів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ред. А. М. Сердюка, Н. С. Польки. – К.: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Деркул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, 2003. – 232 с.</w:t>
      </w:r>
    </w:p>
    <w:p w:rsidR="00DF4ACD" w:rsidRPr="004B5981" w:rsidRDefault="00DF4ACD" w:rsidP="00DF4ACD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Хрипкова А. Г. Возрастная физиология и школьная гигиена / Хрипкова А. Г., Антропова М. В., Фарбер Д. А. – М.: Просвещение, 1990. – 319 с.</w:t>
      </w:r>
    </w:p>
    <w:p w:rsidR="00DF4ACD" w:rsidRPr="004B5981" w:rsidRDefault="00DF4ACD" w:rsidP="00DF4ACD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Шмалєй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С. В. Фізіологія вищої нервової діяльності.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Шмалєй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С. В.,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Гасюк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О. М., Головченко І. В., Редька І. В. – Херсон: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Вид–во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ХДУ, 2007. – 58 с.</w:t>
      </w:r>
    </w:p>
    <w:p w:rsidR="00BB407D" w:rsidRPr="0010117B" w:rsidRDefault="00BB407D" w:rsidP="00BB407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B407D" w:rsidRPr="00101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23F8D"/>
    <w:multiLevelType w:val="hybridMultilevel"/>
    <w:tmpl w:val="E80E003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9510638"/>
    <w:multiLevelType w:val="hybridMultilevel"/>
    <w:tmpl w:val="72523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091989"/>
    <w:multiLevelType w:val="hybridMultilevel"/>
    <w:tmpl w:val="B4AC9F4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EF22A3"/>
    <w:multiLevelType w:val="hybridMultilevel"/>
    <w:tmpl w:val="75E8B30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AA2"/>
    <w:rsid w:val="00006DCB"/>
    <w:rsid w:val="00026415"/>
    <w:rsid w:val="00061066"/>
    <w:rsid w:val="000657A1"/>
    <w:rsid w:val="00095522"/>
    <w:rsid w:val="000A39A7"/>
    <w:rsid w:val="000F47C2"/>
    <w:rsid w:val="00111881"/>
    <w:rsid w:val="0011428C"/>
    <w:rsid w:val="001378C9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47245"/>
    <w:rsid w:val="002633AE"/>
    <w:rsid w:val="0027677F"/>
    <w:rsid w:val="00292DEE"/>
    <w:rsid w:val="00293A9B"/>
    <w:rsid w:val="002C346B"/>
    <w:rsid w:val="002C4E95"/>
    <w:rsid w:val="00335923"/>
    <w:rsid w:val="00350A7F"/>
    <w:rsid w:val="00363026"/>
    <w:rsid w:val="003979D9"/>
    <w:rsid w:val="003B758D"/>
    <w:rsid w:val="003F6A15"/>
    <w:rsid w:val="00415A48"/>
    <w:rsid w:val="004412B2"/>
    <w:rsid w:val="00442201"/>
    <w:rsid w:val="004503BB"/>
    <w:rsid w:val="00464992"/>
    <w:rsid w:val="00483FA3"/>
    <w:rsid w:val="004D5E2B"/>
    <w:rsid w:val="004E23EE"/>
    <w:rsid w:val="0053702C"/>
    <w:rsid w:val="00552BB4"/>
    <w:rsid w:val="00556B68"/>
    <w:rsid w:val="005575B9"/>
    <w:rsid w:val="0059246B"/>
    <w:rsid w:val="005F0EDC"/>
    <w:rsid w:val="005F32F1"/>
    <w:rsid w:val="005F7536"/>
    <w:rsid w:val="00602915"/>
    <w:rsid w:val="00606F53"/>
    <w:rsid w:val="006337A1"/>
    <w:rsid w:val="006347D0"/>
    <w:rsid w:val="00670D7E"/>
    <w:rsid w:val="0067606E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E4178"/>
    <w:rsid w:val="007E5FB6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D20E6"/>
    <w:rsid w:val="00A01723"/>
    <w:rsid w:val="00A0257E"/>
    <w:rsid w:val="00A05E8A"/>
    <w:rsid w:val="00A90298"/>
    <w:rsid w:val="00A942DC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B407D"/>
    <w:rsid w:val="00BC27D3"/>
    <w:rsid w:val="00BC281D"/>
    <w:rsid w:val="00BC5984"/>
    <w:rsid w:val="00BD72C5"/>
    <w:rsid w:val="00C00AA2"/>
    <w:rsid w:val="00C21D7E"/>
    <w:rsid w:val="00C33026"/>
    <w:rsid w:val="00C44DAB"/>
    <w:rsid w:val="00C465BD"/>
    <w:rsid w:val="00C663C6"/>
    <w:rsid w:val="00C717E1"/>
    <w:rsid w:val="00C73C11"/>
    <w:rsid w:val="00C757F3"/>
    <w:rsid w:val="00C81DD2"/>
    <w:rsid w:val="00CB1D02"/>
    <w:rsid w:val="00CD25D6"/>
    <w:rsid w:val="00CE0E34"/>
    <w:rsid w:val="00CF347E"/>
    <w:rsid w:val="00D24924"/>
    <w:rsid w:val="00D31363"/>
    <w:rsid w:val="00D4693A"/>
    <w:rsid w:val="00DA2C63"/>
    <w:rsid w:val="00DC5C26"/>
    <w:rsid w:val="00DD7347"/>
    <w:rsid w:val="00DF4ACD"/>
    <w:rsid w:val="00E36ABE"/>
    <w:rsid w:val="00E41856"/>
    <w:rsid w:val="00E61FAE"/>
    <w:rsid w:val="00E8141D"/>
    <w:rsid w:val="00E93F74"/>
    <w:rsid w:val="00EA5105"/>
    <w:rsid w:val="00EE7549"/>
    <w:rsid w:val="00EF0D12"/>
    <w:rsid w:val="00F1356E"/>
    <w:rsid w:val="00F91C8C"/>
    <w:rsid w:val="00FB6703"/>
    <w:rsid w:val="00FC1C8E"/>
    <w:rsid w:val="00FC53E8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07D"/>
    <w:pPr>
      <w:ind w:left="720"/>
      <w:contextualSpacing/>
    </w:pPr>
  </w:style>
  <w:style w:type="table" w:styleId="a4">
    <w:name w:val="Table Grid"/>
    <w:basedOn w:val="a1"/>
    <w:uiPriority w:val="59"/>
    <w:rsid w:val="00BB4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B4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40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07D"/>
    <w:pPr>
      <w:ind w:left="720"/>
      <w:contextualSpacing/>
    </w:pPr>
  </w:style>
  <w:style w:type="table" w:styleId="a4">
    <w:name w:val="Table Grid"/>
    <w:basedOn w:val="a1"/>
    <w:uiPriority w:val="59"/>
    <w:rsid w:val="00BB4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B4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4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4</cp:revision>
  <dcterms:created xsi:type="dcterms:W3CDTF">2020-03-20T05:17:00Z</dcterms:created>
  <dcterms:modified xsi:type="dcterms:W3CDTF">2020-03-20T06:10:00Z</dcterms:modified>
</cp:coreProperties>
</file>